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E9CC10F" w14:textId="77777777" w:rsidR="00927B96" w:rsidRPr="003E63FD" w:rsidRDefault="00927B96" w:rsidP="00927B96">
      <w:pPr>
        <w:jc w:val="center"/>
        <w:rPr>
          <w:rFonts w:ascii="Arial Narrow" w:hAnsi="Arial Narrow"/>
          <w:sz w:val="28"/>
          <w:szCs w:val="28"/>
        </w:rPr>
      </w:pPr>
      <w:r>
        <w:rPr>
          <w:rFonts w:ascii="Arial Narrow" w:hAnsi="Arial Narrow"/>
          <w:sz w:val="28"/>
          <w:szCs w:val="28"/>
        </w:rPr>
        <w:t>Marché de prestations de restauration et de dépoussiérage des cadres des collections de l’EPMO-VGE</w:t>
      </w:r>
    </w:p>
    <w:p w14:paraId="0F3D9944" w14:textId="04A48C05" w:rsidR="00A02B17" w:rsidRPr="006F014C" w:rsidRDefault="006F014C" w:rsidP="006F014C">
      <w:pPr>
        <w:pStyle w:val="En-tte"/>
        <w:tabs>
          <w:tab w:val="clear" w:pos="4536"/>
          <w:tab w:val="clear" w:pos="9072"/>
        </w:tabs>
        <w:spacing w:after="160" w:line="259" w:lineRule="auto"/>
        <w:jc w:val="center"/>
        <w:rPr>
          <w:rFonts w:ascii="Arial Narrow" w:hAnsi="Arial Narrow"/>
          <w:sz w:val="28"/>
          <w:szCs w:val="28"/>
        </w:rPr>
      </w:pPr>
      <w:r w:rsidRPr="006F014C">
        <w:rPr>
          <w:rFonts w:ascii="Arial Narrow" w:hAnsi="Arial Narrow"/>
          <w:sz w:val="28"/>
          <w:szCs w:val="28"/>
        </w:rPr>
        <w:t>N°</w:t>
      </w:r>
      <w:r w:rsidR="00927B96">
        <w:rPr>
          <w:rFonts w:ascii="Arial Narrow" w:hAnsi="Arial Narrow"/>
          <w:sz w:val="28"/>
          <w:szCs w:val="28"/>
        </w:rPr>
        <w:t>2025-523</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5045B3D7"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B550636"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27B96">
                  <w:rPr>
                    <w:rFonts w:ascii="Arial Narrow" w:hAnsi="Arial Narrow"/>
                    <w:sz w:val="22"/>
                    <w:szCs w:val="22"/>
                  </w:rPr>
                  <w:t>Services</w:t>
                </w:r>
              </w:sdtContent>
            </w:sdt>
          </w:p>
          <w:p w14:paraId="4CA1EB62" w14:textId="0DCC2140"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927B96">
              <w:rPr>
                <w:rFonts w:ascii="Arial Narrow" w:hAnsi="Arial Narrow"/>
              </w:rPr>
              <w:t>-FCS</w:t>
            </w:r>
            <w:r w:rsidRPr="00546FE0">
              <w:rPr>
                <w:rFonts w:ascii="Arial Narrow" w:hAnsi="Arial Narrow"/>
              </w:rPr>
              <w:t>)</w:t>
            </w:r>
          </w:p>
          <w:p w14:paraId="7ACFE896" w14:textId="41AA6E4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40364">
                  <w:rPr>
                    <w:rFonts w:ascii="Arial Narrow" w:hAnsi="Arial Narrow"/>
                  </w:rPr>
                  <w:t>- Procédure adaptée ouverte (services sociaux et spécifiques) en application des dispositions des articles L. 2123-1 et R. 2123-1 à R. 2123-7 du code de la commande publique</w:t>
                </w:r>
              </w:sdtContent>
            </w:sdt>
          </w:p>
          <w:p w14:paraId="151AC878" w14:textId="4780943E"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27B96">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F70AF56" w14:textId="1556C620" w:rsidR="00927B96" w:rsidRPr="00546FE0" w:rsidRDefault="00927B96" w:rsidP="007221BF">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marché a pour objet de </w:t>
      </w:r>
      <w:r w:rsidRPr="003E63FD">
        <w:rPr>
          <w:rFonts w:ascii="Arial Narrow" w:hAnsi="Arial Narrow"/>
        </w:rPr>
        <w:t xml:space="preserve">conclure un marché public portant sur des prestations de </w:t>
      </w:r>
      <w:r w:rsidRPr="00FC7360">
        <w:rPr>
          <w:rFonts w:ascii="Arial Narrow" w:hAnsi="Arial Narrow"/>
        </w:rPr>
        <w:t>restauration</w:t>
      </w:r>
      <w:r w:rsidR="009B308B">
        <w:rPr>
          <w:rFonts w:ascii="Arial Narrow" w:hAnsi="Arial Narrow"/>
        </w:rPr>
        <w:t xml:space="preserve"> de cadres</w:t>
      </w:r>
      <w:r w:rsidRPr="00FC7360">
        <w:rPr>
          <w:rFonts w:ascii="Arial Narrow" w:hAnsi="Arial Narrow"/>
        </w:rPr>
        <w:t xml:space="preserve"> </w:t>
      </w:r>
      <w:r w:rsidR="009B308B">
        <w:rPr>
          <w:rFonts w:ascii="Arial Narrow" w:hAnsi="Arial Narrow"/>
        </w:rPr>
        <w:t xml:space="preserve">de toutes dimensions </w:t>
      </w:r>
      <w:r w:rsidRPr="00FC7360">
        <w:rPr>
          <w:rFonts w:ascii="Arial Narrow" w:hAnsi="Arial Narrow"/>
        </w:rPr>
        <w:t xml:space="preserve">et de dépoussiérage des cadres </w:t>
      </w:r>
      <w:r w:rsidR="009B308B">
        <w:rPr>
          <w:rFonts w:ascii="Arial Narrow" w:hAnsi="Arial Narrow"/>
        </w:rPr>
        <w:t xml:space="preserve">et des peintures non protégées </w:t>
      </w:r>
      <w:r w:rsidRPr="00FC7360">
        <w:rPr>
          <w:rFonts w:ascii="Arial Narrow" w:hAnsi="Arial Narrow"/>
        </w:rPr>
        <w:t>des collections de l’EPMO-VGE</w:t>
      </w:r>
      <w:r>
        <w:rPr>
          <w:rFonts w:ascii="Arial Narrow" w:hAnsi="Arial Narrow"/>
        </w:rPr>
        <w:t>.</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1BD6DC36" w14:textId="4D6DA754" w:rsidR="009B308B" w:rsidRPr="00927B96" w:rsidRDefault="0006022E" w:rsidP="00927B96">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6AB05B0F" w14:textId="77777777" w:rsidR="00927B96" w:rsidRPr="00546FE0" w:rsidRDefault="00927B96" w:rsidP="00927B96">
      <w:pPr>
        <w:pStyle w:val="En-tte"/>
        <w:spacing w:after="120" w:line="360" w:lineRule="auto"/>
        <w:jc w:val="both"/>
        <w:rPr>
          <w:rFonts w:ascii="Arial Narrow" w:hAnsi="Arial Narrow"/>
        </w:rPr>
      </w:pPr>
      <w:r w:rsidRPr="00546FE0">
        <w:rPr>
          <w:rFonts w:ascii="Arial Narrow" w:hAnsi="Arial Narrow"/>
        </w:rPr>
        <w:t>Le suivi des prestati</w:t>
      </w:r>
      <w:r>
        <w:rPr>
          <w:rFonts w:ascii="Arial Narrow" w:hAnsi="Arial Narrow"/>
        </w:rPr>
        <w:t>ons est assuré par le Directeur de la Conservation et des Collections, M.</w:t>
      </w:r>
      <w:r w:rsidRPr="00546FE0">
        <w:rPr>
          <w:rFonts w:ascii="Arial Narrow" w:hAnsi="Arial Narrow"/>
        </w:rPr>
        <w:t xml:space="preserve"> </w:t>
      </w:r>
      <w:r>
        <w:rPr>
          <w:rFonts w:ascii="Arial Narrow" w:hAnsi="Arial Narrow"/>
        </w:rPr>
        <w:t>Paul Perrin</w:t>
      </w:r>
      <w:r w:rsidRPr="00546FE0">
        <w:rPr>
          <w:rFonts w:ascii="Arial Narrow" w:hAnsi="Arial Narrow"/>
        </w:rPr>
        <w:t xml:space="preserve"> ou son représentant dûment habilité à cet effet</w:t>
      </w:r>
      <w:r>
        <w:rPr>
          <w:rFonts w:ascii="Arial Narrow" w:hAnsi="Arial Narrow"/>
        </w:rPr>
        <w: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47885131" w14:textId="4F6FC2D9" w:rsidR="00927B96" w:rsidRDefault="00927B96" w:rsidP="00DC2FA3">
      <w:pPr>
        <w:pStyle w:val="En-tte"/>
        <w:spacing w:after="120" w:line="360" w:lineRule="auto"/>
        <w:jc w:val="both"/>
        <w:rPr>
          <w:rFonts w:ascii="Arial Narrow" w:hAnsi="Arial Narrow"/>
          <w:i/>
          <w:color w:val="ED7D31" w:themeColor="accent2"/>
        </w:rPr>
      </w:pPr>
    </w:p>
    <w:p w14:paraId="0D92E902" w14:textId="2508604D" w:rsidR="00CD034C" w:rsidRDefault="00CD034C" w:rsidP="00DC2FA3">
      <w:pPr>
        <w:pStyle w:val="En-tte"/>
        <w:spacing w:after="120" w:line="360" w:lineRule="auto"/>
        <w:jc w:val="both"/>
        <w:rPr>
          <w:rFonts w:ascii="Arial Narrow" w:hAnsi="Arial Narrow"/>
          <w:i/>
          <w:color w:val="ED7D31" w:themeColor="accent2"/>
        </w:rPr>
      </w:pPr>
    </w:p>
    <w:p w14:paraId="4D6338B9" w14:textId="77777777" w:rsidR="00CD034C" w:rsidRPr="00546FE0" w:rsidRDefault="00CD034C" w:rsidP="00DC2FA3">
      <w:pPr>
        <w:pStyle w:val="En-tte"/>
        <w:spacing w:after="120" w:line="360" w:lineRule="auto"/>
        <w:jc w:val="both"/>
        <w:rPr>
          <w:rFonts w:ascii="Arial Narrow" w:hAnsi="Arial Narrow"/>
          <w:i/>
          <w:color w:val="ED7D31" w:themeColor="accent2"/>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FONCTIONNEMENT DE L’ACCORD-CADRE</w:t>
      </w: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5D896B21" w14:textId="39608D23" w:rsidR="006528A6" w:rsidRPr="00546FE0" w:rsidRDefault="005D555E" w:rsidP="00927B96">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68013086" w:rsidR="0081396B"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10AF7A18" w14:textId="77777777" w:rsidR="008D1813" w:rsidRPr="00546FE0" w:rsidRDefault="008D1813" w:rsidP="00D9355E">
      <w:pPr>
        <w:pStyle w:val="En-tte"/>
        <w:tabs>
          <w:tab w:val="clear" w:pos="4536"/>
          <w:tab w:val="clear" w:pos="9072"/>
        </w:tabs>
        <w:spacing w:after="120" w:line="360" w:lineRule="auto"/>
        <w:jc w:val="both"/>
        <w:rPr>
          <w:rFonts w:ascii="Arial Narrow" w:hAnsi="Arial Narrow"/>
        </w:rPr>
      </w:pP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7DF8EF96" w14:textId="77A26136" w:rsidR="00B42ED3"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0024B2DA"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1AEE1436" w14:textId="77777777" w:rsidR="00CD034C" w:rsidRDefault="00CD034C" w:rsidP="00874D6C">
      <w:pPr>
        <w:pStyle w:val="En-tte"/>
        <w:tabs>
          <w:tab w:val="clear" w:pos="4536"/>
          <w:tab w:val="clear" w:pos="9072"/>
        </w:tabs>
        <w:spacing w:after="120" w:line="360" w:lineRule="auto"/>
        <w:jc w:val="both"/>
        <w:rPr>
          <w:rFonts w:ascii="Arial Narrow" w:hAnsi="Arial Narrow"/>
        </w:rPr>
      </w:pPr>
    </w:p>
    <w:p w14:paraId="08843B69" w14:textId="74904EC4" w:rsidR="00EE65EC" w:rsidRPr="00546FE0" w:rsidRDefault="00EE65EC" w:rsidP="008D1813">
      <w:pPr>
        <w:pStyle w:val="En-tte"/>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r w:rsidR="008D1813">
        <w:rPr>
          <w:rFonts w:ascii="Arial Narrow" w:hAnsi="Arial Narrow"/>
          <w:b/>
        </w:rPr>
        <w:t> :</w:t>
      </w:r>
    </w:p>
    <w:p w14:paraId="2BCA7628" w14:textId="77777777" w:rsidR="00CD034C" w:rsidRPr="00CD034C" w:rsidRDefault="00CD034C" w:rsidP="00CD034C">
      <w:pPr>
        <w:spacing w:before="100" w:beforeAutospacing="1" w:after="100" w:afterAutospacing="1" w:line="360" w:lineRule="auto"/>
        <w:jc w:val="both"/>
        <w:rPr>
          <w:rFonts w:ascii="Arial Narrow" w:eastAsia="Times New Roman" w:hAnsi="Arial Narrow" w:cs="Times New Roman"/>
          <w:lang w:eastAsia="fr-FR"/>
        </w:rPr>
      </w:pPr>
      <w:r w:rsidRPr="00CD034C">
        <w:rPr>
          <w:rFonts w:ascii="Arial Narrow" w:eastAsia="Times New Roman" w:hAnsi="Arial Narrow" w:cs="Times New Roman"/>
          <w:lang w:eastAsia="fr-FR"/>
        </w:rPr>
        <w:t>Le titulaire s’engage à réaliser les prestations de dépoussiérage et de restauration des cadres dans le respect de la réglementation environnementale et des principes du développement durable.</w:t>
      </w:r>
    </w:p>
    <w:p w14:paraId="399198E6" w14:textId="50BD57E9" w:rsidR="00CD034C" w:rsidRPr="00CD034C" w:rsidRDefault="00CD034C" w:rsidP="00CD034C">
      <w:pPr>
        <w:spacing w:before="100" w:beforeAutospacing="1" w:after="100" w:afterAutospacing="1" w:line="360" w:lineRule="auto"/>
        <w:jc w:val="both"/>
        <w:rPr>
          <w:rFonts w:ascii="Arial Narrow" w:eastAsia="Times New Roman" w:hAnsi="Arial Narrow" w:cs="Times New Roman"/>
          <w:lang w:eastAsia="fr-FR"/>
        </w:rPr>
      </w:pPr>
      <w:r w:rsidRPr="00CD034C">
        <w:rPr>
          <w:rFonts w:ascii="Arial Narrow" w:eastAsia="Times New Roman" w:hAnsi="Arial Narrow" w:cs="Times New Roman"/>
          <w:lang w:eastAsia="fr-FR"/>
        </w:rPr>
        <w:t>Il devra notamment : utiliser des produits et solvants à faible impact environnemental, exempts de substances nocives po</w:t>
      </w:r>
      <w:r>
        <w:rPr>
          <w:rFonts w:ascii="Arial Narrow" w:eastAsia="Times New Roman" w:hAnsi="Arial Narrow" w:cs="Times New Roman"/>
          <w:lang w:eastAsia="fr-FR"/>
        </w:rPr>
        <w:t xml:space="preserve">ur la santé et l’environnement ; </w:t>
      </w:r>
      <w:r w:rsidRPr="00CD034C">
        <w:rPr>
          <w:rFonts w:ascii="Arial Narrow" w:eastAsia="Times New Roman" w:hAnsi="Arial Narrow" w:cs="Times New Roman"/>
          <w:lang w:eastAsia="fr-FR"/>
        </w:rPr>
        <w:t>limiter les déchets et assurer leur tri, leur recyclage ou leur élimination dans des filières agréées ;</w:t>
      </w:r>
      <w:r>
        <w:rPr>
          <w:rFonts w:ascii="Arial Narrow" w:eastAsia="Times New Roman" w:hAnsi="Arial Narrow" w:cs="Times New Roman"/>
          <w:lang w:eastAsia="fr-FR"/>
        </w:rPr>
        <w:t xml:space="preserve"> </w:t>
      </w:r>
      <w:r w:rsidRPr="00CD034C">
        <w:rPr>
          <w:rFonts w:ascii="Arial Narrow" w:eastAsia="Times New Roman" w:hAnsi="Arial Narrow" w:cs="Times New Roman"/>
          <w:lang w:eastAsia="fr-FR"/>
        </w:rPr>
        <w:t>privilégier les procédés et matériaux de restauration durables et réversibles ;</w:t>
      </w:r>
      <w:r>
        <w:rPr>
          <w:rFonts w:ascii="Arial Narrow" w:eastAsia="Times New Roman" w:hAnsi="Arial Narrow" w:cs="Times New Roman"/>
          <w:lang w:eastAsia="fr-FR"/>
        </w:rPr>
        <w:t xml:space="preserve"> </w:t>
      </w:r>
      <w:r w:rsidRPr="00CD034C">
        <w:rPr>
          <w:rFonts w:ascii="Arial Narrow" w:eastAsia="Times New Roman" w:hAnsi="Arial Narrow" w:cs="Times New Roman"/>
          <w:lang w:eastAsia="fr-FR"/>
        </w:rPr>
        <w:t>adopter des pratiques de travail réduisant les consommations d’eau, d’énergie et de produits chimiques ;</w:t>
      </w:r>
      <w:r>
        <w:rPr>
          <w:rFonts w:ascii="Arial Narrow" w:eastAsia="Times New Roman" w:hAnsi="Arial Narrow" w:cs="Times New Roman"/>
          <w:lang w:eastAsia="fr-FR"/>
        </w:rPr>
        <w:t xml:space="preserve"> </w:t>
      </w:r>
      <w:r w:rsidRPr="00CD034C">
        <w:rPr>
          <w:rFonts w:ascii="Arial Narrow" w:eastAsia="Times New Roman" w:hAnsi="Arial Narrow" w:cs="Times New Roman"/>
          <w:lang w:eastAsia="fr-FR"/>
        </w:rPr>
        <w:t>veiller à une gestion responsable des transports et des emballages.</w:t>
      </w:r>
    </w:p>
    <w:p w14:paraId="21A380B4" w14:textId="77777777" w:rsidR="00CD034C" w:rsidRPr="00CD034C" w:rsidRDefault="00CD034C" w:rsidP="00CD034C">
      <w:pPr>
        <w:spacing w:before="100" w:beforeAutospacing="1" w:after="100" w:afterAutospacing="1" w:line="360" w:lineRule="auto"/>
        <w:jc w:val="both"/>
        <w:rPr>
          <w:rFonts w:ascii="Arial Narrow" w:eastAsia="Times New Roman" w:hAnsi="Arial Narrow" w:cs="Times New Roman"/>
          <w:lang w:eastAsia="fr-FR"/>
        </w:rPr>
      </w:pPr>
      <w:r w:rsidRPr="00CD034C">
        <w:rPr>
          <w:rFonts w:ascii="Arial Narrow" w:eastAsia="Times New Roman" w:hAnsi="Arial Narrow" w:cs="Times New Roman"/>
          <w:lang w:eastAsia="fr-FR"/>
        </w:rPr>
        <w:t>Le pouvoir adjudicateur pourra demander tout justificatif relatif au respect de ces engagements environnementaux.</w:t>
      </w:r>
    </w:p>
    <w:p w14:paraId="5CD0975B" w14:textId="5965EFF5" w:rsidR="0035293A" w:rsidRDefault="0035293A" w:rsidP="003801E3">
      <w:pPr>
        <w:rPr>
          <w:rFonts w:ascii="Arial Narrow" w:hAnsi="Arial Narrow"/>
        </w:rPr>
      </w:pPr>
      <w:r>
        <w:rPr>
          <w:rFonts w:ascii="Arial Narrow" w:hAnsi="Arial Narrow"/>
        </w:rPr>
        <w:br w:type="page"/>
      </w: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0B4235BB" w14:textId="7F6ABAEC" w:rsidR="00B42ED3" w:rsidRPr="00927B96" w:rsidRDefault="00B42ED3" w:rsidP="00927B96">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8D1813">
        <w:rPr>
          <w:rFonts w:ascii="Arial Narrow" w:hAnsi="Arial Narrow"/>
        </w:rPr>
        <w:t xml:space="preserve">unitaires. Ils sont </w:t>
      </w:r>
      <w:r w:rsidR="000C10A2" w:rsidRPr="008D1813">
        <w:rPr>
          <w:rFonts w:ascii="Arial Narrow" w:hAnsi="Arial Narrow"/>
        </w:rPr>
        <w:t>définitifs</w:t>
      </w:r>
      <w:r w:rsidR="000C10A2" w:rsidRPr="00546FE0">
        <w:rPr>
          <w:rFonts w:ascii="Arial Narrow" w:hAnsi="Arial Narrow"/>
        </w:rPr>
        <w:t xml:space="preserve"> et </w:t>
      </w:r>
      <w:r w:rsidRPr="00546FE0">
        <w:rPr>
          <w:rFonts w:ascii="Arial Narrow" w:hAnsi="Arial Narrow"/>
        </w:rPr>
        <w:t xml:space="preserve">réputés comprendre toutes les charges fiscales ou autres frappant obligatoirement les prestations.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07D52A8" w14:textId="4FEE062E" w:rsidR="00B42ED3" w:rsidRPr="007854D7" w:rsidRDefault="00B42ED3" w:rsidP="00927B96">
      <w:pPr>
        <w:pStyle w:val="En-tte"/>
        <w:spacing w:after="120" w:line="360" w:lineRule="auto"/>
        <w:jc w:val="center"/>
        <w:rPr>
          <w:rFonts w:ascii="Arial Narrow" w:hAnsi="Arial Narrow"/>
        </w:rPr>
      </w:pPr>
      <w:r w:rsidRPr="007854D7">
        <w:rPr>
          <w:rFonts w:ascii="Arial Narrow" w:hAnsi="Arial Narrow"/>
        </w:rPr>
        <w:t xml:space="preserve">P = Po * </w:t>
      </w:r>
      <w:r w:rsidR="00A4523F" w:rsidRPr="007854D7">
        <w:rPr>
          <w:rFonts w:ascii="Arial Narrow" w:hAnsi="Arial Narrow"/>
        </w:rPr>
        <w:t>(SYN-REV</w:t>
      </w:r>
      <w:r w:rsidR="00CC5197" w:rsidRPr="007854D7">
        <w:rPr>
          <w:rFonts w:ascii="Arial Narrow" w:hAnsi="Arial Narrow"/>
        </w:rPr>
        <w:t>/</w:t>
      </w:r>
      <w:r w:rsidR="00A4523F" w:rsidRPr="007854D7">
        <w:rPr>
          <w:rFonts w:ascii="Arial Narrow" w:hAnsi="Arial Narrow"/>
        </w:rPr>
        <w:t xml:space="preserve"> SYN-</w:t>
      </w:r>
      <w:proofErr w:type="spellStart"/>
      <w:r w:rsidR="00A4523F" w:rsidRPr="007854D7">
        <w:rPr>
          <w:rFonts w:ascii="Arial Narrow" w:hAnsi="Arial Narrow"/>
        </w:rPr>
        <w:t>REV</w:t>
      </w:r>
      <w:r w:rsidR="00CC5197" w:rsidRPr="007854D7">
        <w:rPr>
          <w:rFonts w:ascii="Arial Narrow" w:hAnsi="Arial Narrow"/>
        </w:rPr>
        <w:t>o</w:t>
      </w:r>
      <w:proofErr w:type="spellEnd"/>
      <w:r w:rsidR="00CC5197" w:rsidRPr="007854D7">
        <w:rPr>
          <w:rFonts w:ascii="Arial Narrow" w:hAnsi="Arial Narrow"/>
        </w:rPr>
        <w:t>)</w:t>
      </w:r>
    </w:p>
    <w:p w14:paraId="02D8CDCD" w14:textId="40227EC2" w:rsidR="00B42ED3" w:rsidRPr="00546FE0" w:rsidRDefault="00A4523F" w:rsidP="008D1813">
      <w:pPr>
        <w:pStyle w:val="En-tte"/>
        <w:spacing w:after="120" w:line="360" w:lineRule="auto"/>
        <w:rPr>
          <w:rFonts w:ascii="Arial Narrow" w:hAnsi="Arial Narrow"/>
        </w:rPr>
      </w:pPr>
      <w:r>
        <w:rPr>
          <w:rFonts w:ascii="Arial Narrow" w:hAnsi="Arial Narrow"/>
        </w:rPr>
        <w:t xml:space="preserve">SYN-REV = </w:t>
      </w:r>
      <w:proofErr w:type="spellStart"/>
      <w:r>
        <w:rPr>
          <w:rFonts w:ascii="Arial Narrow" w:hAnsi="Arial Narrow"/>
        </w:rPr>
        <w:t>Syntec</w:t>
      </w:r>
      <w:proofErr w:type="spellEnd"/>
      <w:r>
        <w:rPr>
          <w:rFonts w:ascii="Arial Narrow" w:hAnsi="Arial Narrow"/>
        </w:rPr>
        <w:t xml:space="preserve"> révisé - Honoraires</w:t>
      </w:r>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8D1813">
      <w:pPr>
        <w:pStyle w:val="En-tte"/>
        <w:spacing w:after="120" w:line="360" w:lineRule="auto"/>
        <w:ind w:left="567"/>
        <w:rPr>
          <w:rFonts w:ascii="Arial Narrow" w:hAnsi="Arial Narrow"/>
        </w:rPr>
      </w:pPr>
      <w:r w:rsidRPr="00546FE0">
        <w:rPr>
          <w:rFonts w:ascii="Arial Narrow" w:hAnsi="Arial Narrow"/>
        </w:rPr>
        <w:t>P : prix révisé,</w:t>
      </w:r>
    </w:p>
    <w:p w14:paraId="5C2BC6A5" w14:textId="77777777" w:rsidR="00B42ED3" w:rsidRPr="00546FE0" w:rsidRDefault="00B42ED3" w:rsidP="008D1813">
      <w:pPr>
        <w:pStyle w:val="En-tte"/>
        <w:spacing w:after="120" w:line="360" w:lineRule="auto"/>
        <w:ind w:left="567"/>
        <w:rPr>
          <w:rFonts w:ascii="Arial Narrow" w:hAnsi="Arial Narrow"/>
        </w:rPr>
      </w:pPr>
      <w:r w:rsidRPr="00546FE0">
        <w:rPr>
          <w:rFonts w:ascii="Arial Narrow" w:hAnsi="Arial Narrow"/>
        </w:rPr>
        <w:t>Po : prix au mois M0,</w:t>
      </w:r>
    </w:p>
    <w:p w14:paraId="167087ED" w14:textId="33060C28" w:rsidR="00B42ED3" w:rsidRPr="00546FE0" w:rsidRDefault="00A4523F" w:rsidP="008D1813">
      <w:pPr>
        <w:pStyle w:val="En-tte"/>
        <w:spacing w:after="120" w:line="360" w:lineRule="auto"/>
        <w:ind w:left="567"/>
        <w:rPr>
          <w:rFonts w:ascii="Arial Narrow" w:hAnsi="Arial Narrow"/>
        </w:rPr>
      </w:pPr>
      <w:r>
        <w:rPr>
          <w:rFonts w:ascii="Arial Narrow" w:hAnsi="Arial Narrow"/>
        </w:rPr>
        <w:t>SYN-REV</w:t>
      </w:r>
      <w:r w:rsidR="00B42ED3" w:rsidRPr="00546FE0">
        <w:rPr>
          <w:rFonts w:ascii="Arial Narrow" w:hAnsi="Arial Narrow"/>
        </w:rPr>
        <w:t xml:space="preserve"> : </w:t>
      </w:r>
      <w:r w:rsidR="00FA36FF">
        <w:rPr>
          <w:rFonts w:ascii="Arial Narrow" w:hAnsi="Arial Narrow"/>
        </w:rPr>
        <w:t xml:space="preserve">valeur du </w:t>
      </w:r>
      <w:r>
        <w:rPr>
          <w:rFonts w:ascii="Arial Narrow" w:hAnsi="Arial Narrow"/>
        </w:rPr>
        <w:t>dernier indice SYN-REV</w:t>
      </w:r>
      <w:r w:rsidR="00B42ED3" w:rsidRPr="00546FE0">
        <w:rPr>
          <w:rFonts w:ascii="Arial Narrow" w:hAnsi="Arial Narrow"/>
        </w:rPr>
        <w:t xml:space="preserve"> connu à la date de révision des prix,</w:t>
      </w:r>
    </w:p>
    <w:p w14:paraId="761B5CB8" w14:textId="5641913E" w:rsidR="00B42ED3" w:rsidRPr="00546FE0" w:rsidRDefault="00A4523F" w:rsidP="008D1813">
      <w:pPr>
        <w:pStyle w:val="En-tte"/>
        <w:spacing w:after="120" w:line="360" w:lineRule="auto"/>
        <w:ind w:left="567"/>
        <w:rPr>
          <w:rFonts w:ascii="Arial Narrow" w:hAnsi="Arial Narrow"/>
        </w:rPr>
      </w:pPr>
      <w:r>
        <w:rPr>
          <w:rFonts w:ascii="Arial Narrow" w:hAnsi="Arial Narrow"/>
        </w:rPr>
        <w:t>SYN-</w:t>
      </w:r>
      <w:proofErr w:type="spellStart"/>
      <w:r>
        <w:rPr>
          <w:rFonts w:ascii="Arial Narrow" w:hAnsi="Arial Narrow"/>
        </w:rPr>
        <w:t>REV</w:t>
      </w:r>
      <w:r w:rsidR="00B42ED3" w:rsidRPr="00546FE0">
        <w:rPr>
          <w:rFonts w:ascii="Arial Narrow" w:hAnsi="Arial Narrow"/>
        </w:rPr>
        <w:t>o</w:t>
      </w:r>
      <w:proofErr w:type="spellEnd"/>
      <w:r w:rsidR="00B42ED3" w:rsidRPr="00546FE0">
        <w:rPr>
          <w:rFonts w:ascii="Arial Narrow" w:hAnsi="Arial Narrow"/>
        </w:rPr>
        <w:t xml:space="preserve"> : </w:t>
      </w:r>
      <w:r w:rsidR="00FA36FF">
        <w:rPr>
          <w:rFonts w:ascii="Arial Narrow" w:hAnsi="Arial Narrow"/>
        </w:rPr>
        <w:t>valeur de l’i</w:t>
      </w:r>
      <w:r>
        <w:rPr>
          <w:rFonts w:ascii="Arial Narrow" w:hAnsi="Arial Narrow"/>
        </w:rPr>
        <w:t>ndice SYN-REV</w:t>
      </w:r>
      <w:r w:rsidR="00B42ED3" w:rsidRPr="00546FE0">
        <w:rPr>
          <w:rFonts w:ascii="Arial Narrow" w:hAnsi="Arial Narrow"/>
        </w:rPr>
        <w:t xml:space="preserve">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0F47E4E3" w:rsidR="0014540C" w:rsidRDefault="000B3B2B" w:rsidP="008D1813">
      <w:pPr>
        <w:pStyle w:val="En-tte"/>
        <w:spacing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0B3B2B">
          <w:rPr>
            <w:rStyle w:val="Lienhypertexte"/>
            <w:rFonts w:ascii="Arial Narrow" w:hAnsi="Arial Narrow"/>
          </w:rPr>
          <w:t>affairesfinancieres@musee-orsay.fr</w:t>
        </w:r>
      </w:hyperlink>
      <w:r w:rsidR="00F664E5">
        <w:rPr>
          <w:rFonts w:ascii="Arial Narrow" w:hAnsi="Arial Narrow"/>
        </w:rPr>
        <w:t xml:space="preserve"> copie </w:t>
      </w:r>
      <w:hyperlink r:id="rId9" w:history="1">
        <w:r w:rsidR="00F664E5" w:rsidRPr="007B1AE6">
          <w:rPr>
            <w:rStyle w:val="Lienhypertexte"/>
            <w:rFonts w:ascii="Arial Narrow" w:hAnsi="Arial Narrow"/>
          </w:rPr>
          <w:t>juridique@musee-orsay.fr</w:t>
        </w:r>
      </w:hyperlink>
    </w:p>
    <w:p w14:paraId="606E0F3F"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12195B82" w14:textId="4088816C" w:rsidR="0014540C" w:rsidRPr="00927B96" w:rsidRDefault="0014540C" w:rsidP="00927B96">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699B2F51" w14:textId="19EF2A53" w:rsidR="002724FC" w:rsidRPr="00FF614A" w:rsidRDefault="0014540C" w:rsidP="008D1813">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w:t>
      </w:r>
      <w:r w:rsidRPr="008D1813">
        <w:rPr>
          <w:rFonts w:ascii="Arial Narrow" w:hAnsi="Arial Narrow"/>
        </w:rPr>
        <w:t xml:space="preserve">l’article </w:t>
      </w:r>
      <w:r w:rsidRPr="008D1813">
        <w:rPr>
          <w:rFonts w:ascii="Arial Narrow" w:hAnsi="Arial Narrow"/>
          <w:bCs/>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1B606D39" w14:textId="473319AB" w:rsidR="0014540C" w:rsidRPr="008D1813" w:rsidRDefault="002724FC" w:rsidP="008D1813">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25CFC6C5" w14:textId="532C7A60" w:rsidR="004C5CF1" w:rsidRPr="00546FE0" w:rsidRDefault="00FF614A"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lastRenderedPageBreak/>
        <w:t xml:space="preserve"> </w:t>
      </w:r>
      <w:r w:rsidR="004C5CF1" w:rsidRPr="00546FE0">
        <w:rPr>
          <w:rFonts w:ascii="Arial Narrow" w:hAnsi="Arial Narrow"/>
          <w:b/>
        </w:rPr>
        <w:t>Paiement de la part à commandes</w:t>
      </w:r>
    </w:p>
    <w:p w14:paraId="04A32B85" w14:textId="7B1D30DA" w:rsidR="004C5CF1" w:rsidRPr="00546FE0" w:rsidRDefault="004C5CF1" w:rsidP="00FF614A">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675E31D2"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r w:rsidR="008D1813">
        <w:rPr>
          <w:rFonts w:ascii="Arial Narrow" w:hAnsi="Arial Narrow"/>
        </w:rPr>
        <w:t xml:space="preserve"> </w:t>
      </w:r>
      <w:r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lastRenderedPageBreak/>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3959AAF2" w14:textId="298169D3" w:rsidR="00FF614A" w:rsidRPr="00FF614A" w:rsidRDefault="004C5CF1" w:rsidP="00FF614A">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0" w:type="auto"/>
        <w:tblLook w:val="04A0" w:firstRow="1" w:lastRow="0" w:firstColumn="1" w:lastColumn="0" w:noHBand="0" w:noVBand="1"/>
      </w:tblPr>
      <w:tblGrid>
        <w:gridCol w:w="3114"/>
        <w:gridCol w:w="3827"/>
        <w:gridCol w:w="2121"/>
      </w:tblGrid>
      <w:tr w:rsidR="002F4374" w:rsidRPr="00546FE0" w14:paraId="61BE234C" w14:textId="77777777" w:rsidTr="002F4374">
        <w:tc>
          <w:tcPr>
            <w:tcW w:w="3114" w:type="dxa"/>
            <w:shd w:val="clear" w:color="auto" w:fill="BDD6EE" w:themeFill="accent1" w:themeFillTint="66"/>
            <w:vAlign w:val="center"/>
          </w:tcPr>
          <w:p w14:paraId="7EB35A96" w14:textId="77777777" w:rsidR="002F4374" w:rsidRPr="00546FE0" w:rsidRDefault="002F4374" w:rsidP="002F4374">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3827" w:type="dxa"/>
            <w:shd w:val="clear" w:color="auto" w:fill="BDD6EE" w:themeFill="accent1" w:themeFillTint="66"/>
            <w:vAlign w:val="center"/>
          </w:tcPr>
          <w:p w14:paraId="41A732EA" w14:textId="77777777" w:rsidR="002F4374" w:rsidRPr="00546FE0" w:rsidRDefault="002F437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Délai applicable</w:t>
            </w:r>
          </w:p>
        </w:tc>
        <w:tc>
          <w:tcPr>
            <w:tcW w:w="2121" w:type="dxa"/>
            <w:shd w:val="clear" w:color="auto" w:fill="BDD6EE" w:themeFill="accent1" w:themeFillTint="66"/>
            <w:vAlign w:val="center"/>
          </w:tcPr>
          <w:p w14:paraId="46590FC0" w14:textId="77777777" w:rsidR="002F4374" w:rsidRPr="00546FE0" w:rsidRDefault="002F437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B807E2" w:rsidRPr="00546FE0" w14:paraId="7277D842" w14:textId="77777777" w:rsidTr="002F4374">
        <w:tc>
          <w:tcPr>
            <w:tcW w:w="3114" w:type="dxa"/>
            <w:vAlign w:val="center"/>
          </w:tcPr>
          <w:p w14:paraId="565CFFB0" w14:textId="4BFE012F" w:rsidR="00B807E2" w:rsidRPr="00546FE0" w:rsidRDefault="00B807E2" w:rsidP="00B807E2">
            <w:pPr>
              <w:spacing w:after="40"/>
              <w:rPr>
                <w:rFonts w:ascii="Arial Narrow" w:eastAsia="Calibri" w:hAnsi="Arial Narrow" w:cs="Arial"/>
                <w:sz w:val="20"/>
                <w:lang w:eastAsia="ar-SA"/>
              </w:rPr>
            </w:pPr>
            <w:r>
              <w:rPr>
                <w:rFonts w:ascii="Arial Narrow" w:eastAsia="Calibri" w:hAnsi="Arial Narrow" w:cs="Arial"/>
                <w:sz w:val="20"/>
                <w:lang w:eastAsia="ar-SA"/>
              </w:rPr>
              <w:t>Retard dans la livraison d’un cadre</w:t>
            </w:r>
          </w:p>
        </w:tc>
        <w:tc>
          <w:tcPr>
            <w:tcW w:w="3827" w:type="dxa"/>
            <w:vAlign w:val="center"/>
          </w:tcPr>
          <w:p w14:paraId="48C9DE0D" w14:textId="6A804D00" w:rsidR="00B807E2" w:rsidRPr="00546FE0" w:rsidRDefault="00B807E2" w:rsidP="00B807E2">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7</w:t>
            </w:r>
            <w:r w:rsidRPr="00546FE0">
              <w:rPr>
                <w:rFonts w:ascii="Arial Narrow" w:eastAsia="Calibri" w:hAnsi="Arial Narrow" w:cs="Arial"/>
                <w:szCs w:val="22"/>
                <w:lang w:eastAsia="ar-SA"/>
              </w:rPr>
              <w:t xml:space="preserve"> jours ouvrés à compter de </w:t>
            </w:r>
            <w:r>
              <w:rPr>
                <w:rFonts w:ascii="Arial Narrow" w:eastAsia="Calibri" w:hAnsi="Arial Narrow" w:cs="Arial"/>
                <w:szCs w:val="22"/>
                <w:lang w:eastAsia="ar-SA"/>
              </w:rPr>
              <w:t>la date de livraison initialement convenue avec l’EPMO-VGE</w:t>
            </w:r>
          </w:p>
        </w:tc>
        <w:tc>
          <w:tcPr>
            <w:tcW w:w="2121" w:type="dxa"/>
            <w:vAlign w:val="center"/>
          </w:tcPr>
          <w:p w14:paraId="03586DC5" w14:textId="5716EC8A" w:rsidR="00B807E2" w:rsidRPr="00546FE0" w:rsidRDefault="00B807E2" w:rsidP="008D1813">
            <w:pPr>
              <w:spacing w:after="40"/>
              <w:rPr>
                <w:rFonts w:ascii="Arial Narrow" w:eastAsia="Calibri" w:hAnsi="Arial Narrow" w:cs="Arial"/>
                <w:sz w:val="20"/>
                <w:lang w:eastAsia="ar-SA"/>
              </w:rPr>
            </w:pPr>
            <w:r>
              <w:rPr>
                <w:rFonts w:ascii="Arial Narrow" w:eastAsia="Calibri" w:hAnsi="Arial Narrow" w:cs="Arial"/>
                <w:sz w:val="20"/>
                <w:lang w:eastAsia="ar-SA"/>
              </w:rPr>
              <w:t>50</w:t>
            </w:r>
            <w:r w:rsidRPr="00546FE0">
              <w:rPr>
                <w:rFonts w:ascii="Arial Narrow" w:eastAsia="Calibri" w:hAnsi="Arial Narrow" w:cs="Arial"/>
                <w:sz w:val="20"/>
                <w:lang w:eastAsia="ar-SA"/>
              </w:rPr>
              <w:t xml:space="preserve"> € HT par jour </w:t>
            </w:r>
            <w:r w:rsidR="008D1813">
              <w:rPr>
                <w:rFonts w:ascii="Arial Narrow" w:eastAsia="Calibri" w:hAnsi="Arial Narrow" w:cs="Arial"/>
                <w:sz w:val="20"/>
                <w:lang w:eastAsia="ar-SA"/>
              </w:rPr>
              <w:t xml:space="preserve">calendaire </w:t>
            </w:r>
            <w:r w:rsidRPr="00546FE0">
              <w:rPr>
                <w:rFonts w:ascii="Arial Narrow" w:eastAsia="Calibri" w:hAnsi="Arial Narrow" w:cs="Arial"/>
                <w:sz w:val="20"/>
                <w:lang w:eastAsia="ar-SA"/>
              </w:rPr>
              <w:t>de retard</w:t>
            </w:r>
          </w:p>
        </w:tc>
      </w:tr>
      <w:tr w:rsidR="002F4374" w:rsidRPr="00546FE0" w14:paraId="2CF85411" w14:textId="77777777" w:rsidTr="002F4374">
        <w:tc>
          <w:tcPr>
            <w:tcW w:w="3114" w:type="dxa"/>
            <w:vAlign w:val="center"/>
          </w:tcPr>
          <w:p w14:paraId="7AB056EE" w14:textId="257D476C" w:rsidR="002F4374" w:rsidRPr="00546FE0" w:rsidRDefault="00B77611" w:rsidP="002F4374">
            <w:pPr>
              <w:spacing w:after="40"/>
              <w:rPr>
                <w:rFonts w:ascii="Arial Narrow" w:eastAsia="Calibri" w:hAnsi="Arial Narrow" w:cs="Arial"/>
                <w:sz w:val="20"/>
                <w:lang w:eastAsia="ar-SA"/>
              </w:rPr>
            </w:pPr>
            <w:r>
              <w:rPr>
                <w:rFonts w:ascii="Arial Narrow" w:eastAsia="Calibri" w:hAnsi="Arial Narrow" w:cs="Arial"/>
                <w:sz w:val="20"/>
                <w:lang w:eastAsia="ar-SA"/>
              </w:rPr>
              <w:t>Retard dans le rendu des rapports de restauration</w:t>
            </w:r>
          </w:p>
        </w:tc>
        <w:tc>
          <w:tcPr>
            <w:tcW w:w="3827" w:type="dxa"/>
            <w:vAlign w:val="center"/>
          </w:tcPr>
          <w:p w14:paraId="5A03EB82" w14:textId="2678AEF5" w:rsidR="002F4374" w:rsidRPr="00546FE0" w:rsidRDefault="0083753A" w:rsidP="002F4374">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1</w:t>
            </w:r>
            <w:r w:rsidR="00B77611">
              <w:rPr>
                <w:rFonts w:ascii="Arial Narrow" w:eastAsia="Calibri" w:hAnsi="Arial Narrow" w:cs="Arial"/>
                <w:szCs w:val="22"/>
                <w:lang w:eastAsia="ar-SA"/>
              </w:rPr>
              <w:t xml:space="preserve"> mois à compter de la date de livraison</w:t>
            </w:r>
          </w:p>
        </w:tc>
        <w:tc>
          <w:tcPr>
            <w:tcW w:w="2121" w:type="dxa"/>
            <w:vAlign w:val="center"/>
          </w:tcPr>
          <w:p w14:paraId="636ECE97" w14:textId="7EDCC438" w:rsidR="002F4374" w:rsidRPr="00546FE0" w:rsidRDefault="00B77611" w:rsidP="002F4374">
            <w:pPr>
              <w:spacing w:after="40"/>
              <w:rPr>
                <w:rFonts w:ascii="Arial Narrow" w:eastAsia="Calibri" w:hAnsi="Arial Narrow" w:cs="Arial"/>
                <w:sz w:val="20"/>
                <w:lang w:eastAsia="ar-SA"/>
              </w:rPr>
            </w:pPr>
            <w:r>
              <w:rPr>
                <w:rFonts w:ascii="Arial Narrow" w:eastAsia="Calibri" w:hAnsi="Arial Narrow" w:cs="Arial"/>
                <w:sz w:val="20"/>
                <w:lang w:eastAsia="ar-SA"/>
              </w:rPr>
              <w:t>10</w:t>
            </w:r>
            <w:r w:rsidR="002F4374" w:rsidRPr="00546FE0">
              <w:rPr>
                <w:rFonts w:ascii="Arial Narrow" w:eastAsia="Calibri" w:hAnsi="Arial Narrow" w:cs="Arial"/>
                <w:sz w:val="20"/>
                <w:lang w:eastAsia="ar-SA"/>
              </w:rPr>
              <w:t xml:space="preserve"> € HT par jour</w:t>
            </w:r>
            <w:r w:rsidR="008D1813">
              <w:rPr>
                <w:rFonts w:ascii="Arial Narrow" w:eastAsia="Calibri" w:hAnsi="Arial Narrow" w:cs="Arial"/>
                <w:sz w:val="20"/>
                <w:lang w:eastAsia="ar-SA"/>
              </w:rPr>
              <w:t xml:space="preserve"> calendaire</w:t>
            </w:r>
            <w:r w:rsidR="002F4374" w:rsidRPr="00546FE0">
              <w:rPr>
                <w:rFonts w:ascii="Arial Narrow" w:eastAsia="Calibri" w:hAnsi="Arial Narrow" w:cs="Arial"/>
                <w:sz w:val="20"/>
                <w:lang w:eastAsia="ar-SA"/>
              </w:rPr>
              <w:t xml:space="preserve"> de retard</w:t>
            </w:r>
            <w:r>
              <w:rPr>
                <w:rFonts w:ascii="Arial Narrow" w:eastAsia="Calibri" w:hAnsi="Arial Narrow" w:cs="Arial"/>
                <w:sz w:val="20"/>
                <w:lang w:eastAsia="ar-SA"/>
              </w:rPr>
              <w:t> </w:t>
            </w:r>
          </w:p>
        </w:tc>
      </w:tr>
      <w:tr w:rsidR="00B77611" w:rsidRPr="00546FE0" w14:paraId="407D95A7" w14:textId="77777777" w:rsidTr="002F4374">
        <w:tc>
          <w:tcPr>
            <w:tcW w:w="3114" w:type="dxa"/>
            <w:vAlign w:val="center"/>
          </w:tcPr>
          <w:p w14:paraId="5CD01847" w14:textId="4FBB3C57" w:rsidR="00B77611" w:rsidRDefault="00B77611" w:rsidP="002F4374">
            <w:pPr>
              <w:spacing w:after="40"/>
              <w:rPr>
                <w:rFonts w:ascii="Arial Narrow" w:eastAsia="Calibri" w:hAnsi="Arial Narrow" w:cs="Arial"/>
                <w:sz w:val="20"/>
                <w:lang w:eastAsia="ar-SA"/>
              </w:rPr>
            </w:pPr>
            <w:r>
              <w:rPr>
                <w:rFonts w:ascii="Arial Narrow" w:eastAsia="Calibri" w:hAnsi="Arial Narrow" w:cs="Arial"/>
                <w:sz w:val="20"/>
                <w:lang w:eastAsia="ar-SA"/>
              </w:rPr>
              <w:lastRenderedPageBreak/>
              <w:t>Retard dans le rendu du tableur de suivi du dépoussiérage des cadres et des peintures non protégées</w:t>
            </w:r>
          </w:p>
        </w:tc>
        <w:tc>
          <w:tcPr>
            <w:tcW w:w="3827" w:type="dxa"/>
            <w:vAlign w:val="center"/>
          </w:tcPr>
          <w:p w14:paraId="36404033" w14:textId="766082AA" w:rsidR="00B77611" w:rsidRPr="00546FE0" w:rsidDel="00B77611" w:rsidRDefault="0083753A" w:rsidP="0083753A">
            <w:pPr>
              <w:pStyle w:val="Notedebasdepage1"/>
              <w:spacing w:after="40"/>
              <w:rPr>
                <w:rFonts w:ascii="Arial Narrow" w:eastAsia="Calibri" w:hAnsi="Arial Narrow" w:cs="Arial"/>
                <w:szCs w:val="22"/>
                <w:lang w:eastAsia="ar-SA"/>
              </w:rPr>
            </w:pPr>
            <w:r>
              <w:rPr>
                <w:rFonts w:ascii="Arial Narrow" w:eastAsia="Calibri" w:hAnsi="Arial Narrow" w:cs="Arial"/>
                <w:szCs w:val="22"/>
                <w:lang w:eastAsia="ar-SA"/>
              </w:rPr>
              <w:t>1</w:t>
            </w:r>
            <w:r w:rsidR="00B77611">
              <w:rPr>
                <w:rFonts w:ascii="Arial Narrow" w:eastAsia="Calibri" w:hAnsi="Arial Narrow" w:cs="Arial"/>
                <w:szCs w:val="22"/>
                <w:lang w:eastAsia="ar-SA"/>
              </w:rPr>
              <w:t xml:space="preserve"> mois à compter de la date d’exécution de la prestation</w:t>
            </w:r>
          </w:p>
        </w:tc>
        <w:tc>
          <w:tcPr>
            <w:tcW w:w="2121" w:type="dxa"/>
            <w:vAlign w:val="center"/>
          </w:tcPr>
          <w:p w14:paraId="59EBA74A" w14:textId="71CC929D" w:rsidR="00B77611" w:rsidRDefault="00B77611" w:rsidP="002F4374">
            <w:pPr>
              <w:spacing w:after="40"/>
              <w:rPr>
                <w:rFonts w:ascii="Arial Narrow" w:eastAsia="Calibri" w:hAnsi="Arial Narrow" w:cs="Arial"/>
                <w:sz w:val="20"/>
                <w:lang w:eastAsia="ar-SA"/>
              </w:rPr>
            </w:pPr>
            <w:r>
              <w:rPr>
                <w:rFonts w:ascii="Arial Narrow" w:eastAsia="Calibri" w:hAnsi="Arial Narrow" w:cs="Arial"/>
                <w:sz w:val="20"/>
                <w:lang w:eastAsia="ar-SA"/>
              </w:rPr>
              <w:t>10</w:t>
            </w:r>
            <w:r w:rsidRPr="00546FE0">
              <w:rPr>
                <w:rFonts w:ascii="Arial Narrow" w:eastAsia="Calibri" w:hAnsi="Arial Narrow" w:cs="Arial"/>
                <w:sz w:val="20"/>
                <w:lang w:eastAsia="ar-SA"/>
              </w:rPr>
              <w:t xml:space="preserve"> € HT par jour </w:t>
            </w:r>
            <w:r w:rsidR="008D1813">
              <w:rPr>
                <w:rFonts w:ascii="Arial Narrow" w:eastAsia="Calibri" w:hAnsi="Arial Narrow" w:cs="Arial"/>
                <w:sz w:val="20"/>
                <w:lang w:eastAsia="ar-SA"/>
              </w:rPr>
              <w:t xml:space="preserve">calendaire </w:t>
            </w:r>
            <w:r w:rsidRPr="00546FE0">
              <w:rPr>
                <w:rFonts w:ascii="Arial Narrow" w:eastAsia="Calibri" w:hAnsi="Arial Narrow" w:cs="Arial"/>
                <w:sz w:val="20"/>
                <w:lang w:eastAsia="ar-SA"/>
              </w:rPr>
              <w:t>de retard</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483E6D2B"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5330E184"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44611E0E" w:rsidR="00C92452" w:rsidRDefault="00C92452" w:rsidP="00D9355E">
      <w:pPr>
        <w:pStyle w:val="En-tte"/>
        <w:tabs>
          <w:tab w:val="clear" w:pos="4536"/>
          <w:tab w:val="clear" w:pos="9072"/>
        </w:tabs>
        <w:spacing w:after="120" w:line="360" w:lineRule="auto"/>
        <w:jc w:val="both"/>
        <w:rPr>
          <w:rFonts w:ascii="Arial Narrow" w:hAnsi="Arial Narrow"/>
        </w:rPr>
      </w:pPr>
    </w:p>
    <w:p w14:paraId="5CCAD002" w14:textId="77777777" w:rsidR="008D1813" w:rsidRPr="00546FE0" w:rsidRDefault="008D1813"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lastRenderedPageBreak/>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31197474"/>
      <w:r w:rsidRPr="00546FE0">
        <w:rPr>
          <w:rFonts w:ascii="Arial Narrow" w:hAnsi="Arial Narrow"/>
          <w:b/>
        </w:rPr>
        <w:t>LITIGE ET RESILIATION</w:t>
      </w:r>
      <w:bookmarkEnd w:id="0"/>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lastRenderedPageBreak/>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6"/>
      <w:r w:rsidRPr="00546FE0">
        <w:rPr>
          <w:rFonts w:ascii="Arial Narrow" w:hAnsi="Arial Narrow"/>
          <w:b/>
        </w:rPr>
        <w:t>DEROGATIONS AUX DOCUMENTS GÉNÉRAUX</w:t>
      </w:r>
      <w:bookmarkEnd w:id="1"/>
      <w:r w:rsidRPr="00546FE0">
        <w:rPr>
          <w:rFonts w:ascii="Arial Narrow" w:hAnsi="Arial Narrow"/>
          <w:b/>
        </w:rPr>
        <w:t xml:space="preserve"> </w:t>
      </w:r>
    </w:p>
    <w:p w14:paraId="4E0928D4" w14:textId="77777777"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B9F33A" w16cex:dateUtc="2025-09-17T09:28:00Z"/>
  <w16cex:commentExtensible w16cex:durableId="7488DD4D" w16cex:dateUtc="2025-09-17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0BC6F" w16cid:durableId="1450BC6F"/>
  <w16cid:commentId w16cid:paraId="634B9C95" w16cid:durableId="54B9F33A"/>
  <w16cid:commentId w16cid:paraId="7984A609" w16cid:durableId="7984A609"/>
  <w16cid:commentId w16cid:paraId="3C0D0B16" w16cid:durableId="3C0D0B16"/>
  <w16cid:commentId w16cid:paraId="0BC62F3E" w16cid:durableId="0BC62F3E"/>
  <w16cid:commentId w16cid:paraId="1329815C" w16cid:durableId="1329815C"/>
  <w16cid:commentId w16cid:paraId="60AB082E" w16cid:durableId="60AB082E"/>
  <w16cid:commentId w16cid:paraId="466E279E" w16cid:durableId="7488DD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AF146" w14:textId="77777777" w:rsidR="005A1174" w:rsidRDefault="005A1174" w:rsidP="00E42FF3">
      <w:pPr>
        <w:spacing w:after="0" w:line="240" w:lineRule="auto"/>
      </w:pPr>
      <w:r>
        <w:separator/>
      </w:r>
    </w:p>
  </w:endnote>
  <w:endnote w:type="continuationSeparator" w:id="0">
    <w:p w14:paraId="3DB990DB" w14:textId="77777777" w:rsidR="005A1174" w:rsidRDefault="005A117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0C588ADD" w:rsidR="004A157C" w:rsidRDefault="004A157C">
        <w:pPr>
          <w:pStyle w:val="Pieddepage"/>
          <w:jc w:val="right"/>
        </w:pPr>
        <w:r>
          <w:fldChar w:fldCharType="begin"/>
        </w:r>
        <w:r>
          <w:instrText>PAGE   \* MERGEFORMAT</w:instrText>
        </w:r>
        <w:r>
          <w:fldChar w:fldCharType="separate"/>
        </w:r>
        <w:r w:rsidR="00B40364">
          <w:rPr>
            <w:noProof/>
          </w:rPr>
          <w:t>12</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03791" w14:textId="77777777" w:rsidR="005A1174" w:rsidRDefault="005A1174" w:rsidP="00E42FF3">
      <w:pPr>
        <w:spacing w:after="0" w:line="240" w:lineRule="auto"/>
      </w:pPr>
      <w:r>
        <w:separator/>
      </w:r>
    </w:p>
  </w:footnote>
  <w:footnote w:type="continuationSeparator" w:id="0">
    <w:p w14:paraId="1D6E71AC" w14:textId="77777777" w:rsidR="005A1174" w:rsidRDefault="005A117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06277"/>
    <w:multiLevelType w:val="hybridMultilevel"/>
    <w:tmpl w:val="03760256"/>
    <w:lvl w:ilvl="0" w:tplc="6C5EF364">
      <w:numFmt w:val="bullet"/>
      <w:lvlText w:val="-"/>
      <w:lvlJc w:val="left"/>
      <w:pPr>
        <w:ind w:left="720" w:hanging="360"/>
      </w:pPr>
      <w:rPr>
        <w:rFonts w:ascii="Arial Narrow" w:eastAsiaTheme="minorHAnsi" w:hAnsi="Arial Narrow" w:cstheme="minorBidi" w:hint="default"/>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8"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59213C"/>
    <w:multiLevelType w:val="multilevel"/>
    <w:tmpl w:val="59B2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2"/>
  </w:num>
  <w:num w:numId="3">
    <w:abstractNumId w:val="18"/>
  </w:num>
  <w:num w:numId="4">
    <w:abstractNumId w:val="4"/>
  </w:num>
  <w:num w:numId="5">
    <w:abstractNumId w:val="10"/>
  </w:num>
  <w:num w:numId="6">
    <w:abstractNumId w:val="0"/>
  </w:num>
  <w:num w:numId="7">
    <w:abstractNumId w:val="17"/>
  </w:num>
  <w:num w:numId="8">
    <w:abstractNumId w:val="11"/>
  </w:num>
  <w:num w:numId="9">
    <w:abstractNumId w:val="7"/>
  </w:num>
  <w:num w:numId="10">
    <w:abstractNumId w:val="14"/>
  </w:num>
  <w:num w:numId="11">
    <w:abstractNumId w:val="1"/>
  </w:num>
  <w:num w:numId="12">
    <w:abstractNumId w:val="16"/>
  </w:num>
  <w:num w:numId="13">
    <w:abstractNumId w:val="12"/>
  </w:num>
  <w:num w:numId="14">
    <w:abstractNumId w:val="8"/>
  </w:num>
  <w:num w:numId="15">
    <w:abstractNumId w:val="15"/>
  </w:num>
  <w:num w:numId="16">
    <w:abstractNumId w:val="22"/>
  </w:num>
  <w:num w:numId="17">
    <w:abstractNumId w:val="5"/>
  </w:num>
  <w:num w:numId="18">
    <w:abstractNumId w:val="19"/>
  </w:num>
  <w:num w:numId="19">
    <w:abstractNumId w:val="9"/>
  </w:num>
  <w:num w:numId="20">
    <w:abstractNumId w:val="6"/>
  </w:num>
  <w:num w:numId="21">
    <w:abstractNumId w:val="13"/>
  </w:num>
  <w:num w:numId="22">
    <w:abstractNumId w:val="3"/>
  </w:num>
  <w:num w:numId="23">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34BB"/>
    <w:rsid w:val="000B3B2B"/>
    <w:rsid w:val="000B3B70"/>
    <w:rsid w:val="000B52E8"/>
    <w:rsid w:val="000B7422"/>
    <w:rsid w:val="000C10A2"/>
    <w:rsid w:val="000D0217"/>
    <w:rsid w:val="000D317C"/>
    <w:rsid w:val="000D622D"/>
    <w:rsid w:val="000E7740"/>
    <w:rsid w:val="000F34C3"/>
    <w:rsid w:val="001008AE"/>
    <w:rsid w:val="00106DDC"/>
    <w:rsid w:val="00116380"/>
    <w:rsid w:val="0014540C"/>
    <w:rsid w:val="00165639"/>
    <w:rsid w:val="00180990"/>
    <w:rsid w:val="001B44CB"/>
    <w:rsid w:val="001F6E69"/>
    <w:rsid w:val="00242E9F"/>
    <w:rsid w:val="0024335F"/>
    <w:rsid w:val="00245388"/>
    <w:rsid w:val="0025246C"/>
    <w:rsid w:val="00257918"/>
    <w:rsid w:val="00261EEE"/>
    <w:rsid w:val="00264E15"/>
    <w:rsid w:val="002724FC"/>
    <w:rsid w:val="002A271C"/>
    <w:rsid w:val="002B10AD"/>
    <w:rsid w:val="002C5191"/>
    <w:rsid w:val="002D6143"/>
    <w:rsid w:val="002F4374"/>
    <w:rsid w:val="0030422B"/>
    <w:rsid w:val="00314364"/>
    <w:rsid w:val="00332820"/>
    <w:rsid w:val="00347265"/>
    <w:rsid w:val="00350E5F"/>
    <w:rsid w:val="0035293A"/>
    <w:rsid w:val="00360E50"/>
    <w:rsid w:val="00367714"/>
    <w:rsid w:val="003765CC"/>
    <w:rsid w:val="00376A8E"/>
    <w:rsid w:val="003801E3"/>
    <w:rsid w:val="003978C9"/>
    <w:rsid w:val="003A3C44"/>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F1113"/>
    <w:rsid w:val="004F429E"/>
    <w:rsid w:val="004F5E99"/>
    <w:rsid w:val="00533500"/>
    <w:rsid w:val="005413BD"/>
    <w:rsid w:val="00546FE0"/>
    <w:rsid w:val="005706E9"/>
    <w:rsid w:val="00593CA0"/>
    <w:rsid w:val="00597B32"/>
    <w:rsid w:val="005A1174"/>
    <w:rsid w:val="005B11C8"/>
    <w:rsid w:val="005D1A2E"/>
    <w:rsid w:val="005D555E"/>
    <w:rsid w:val="005E63A7"/>
    <w:rsid w:val="005F1D51"/>
    <w:rsid w:val="0064097D"/>
    <w:rsid w:val="006465DC"/>
    <w:rsid w:val="006528A6"/>
    <w:rsid w:val="00666DD5"/>
    <w:rsid w:val="006A63E0"/>
    <w:rsid w:val="006E6DEE"/>
    <w:rsid w:val="006F014C"/>
    <w:rsid w:val="006F0B57"/>
    <w:rsid w:val="007221BF"/>
    <w:rsid w:val="007258AA"/>
    <w:rsid w:val="00726E74"/>
    <w:rsid w:val="00737BEB"/>
    <w:rsid w:val="007639B4"/>
    <w:rsid w:val="007663CD"/>
    <w:rsid w:val="007854D7"/>
    <w:rsid w:val="007D159B"/>
    <w:rsid w:val="007E5415"/>
    <w:rsid w:val="0081396B"/>
    <w:rsid w:val="00836C55"/>
    <w:rsid w:val="0083753A"/>
    <w:rsid w:val="00846D60"/>
    <w:rsid w:val="008665C9"/>
    <w:rsid w:val="00874D6C"/>
    <w:rsid w:val="0088306B"/>
    <w:rsid w:val="0088600A"/>
    <w:rsid w:val="00886A9B"/>
    <w:rsid w:val="00891B1A"/>
    <w:rsid w:val="008B6960"/>
    <w:rsid w:val="008D1813"/>
    <w:rsid w:val="00910D6B"/>
    <w:rsid w:val="009122D3"/>
    <w:rsid w:val="009146C4"/>
    <w:rsid w:val="00927B96"/>
    <w:rsid w:val="00983998"/>
    <w:rsid w:val="00990731"/>
    <w:rsid w:val="009B308B"/>
    <w:rsid w:val="009C2143"/>
    <w:rsid w:val="009D63CC"/>
    <w:rsid w:val="00A02B17"/>
    <w:rsid w:val="00A118F1"/>
    <w:rsid w:val="00A15E81"/>
    <w:rsid w:val="00A4523F"/>
    <w:rsid w:val="00A572A6"/>
    <w:rsid w:val="00A7568E"/>
    <w:rsid w:val="00A94EDC"/>
    <w:rsid w:val="00AA3E07"/>
    <w:rsid w:val="00AD439B"/>
    <w:rsid w:val="00B17100"/>
    <w:rsid w:val="00B40364"/>
    <w:rsid w:val="00B42ED3"/>
    <w:rsid w:val="00B52B09"/>
    <w:rsid w:val="00B76438"/>
    <w:rsid w:val="00B76727"/>
    <w:rsid w:val="00B76C4A"/>
    <w:rsid w:val="00B77611"/>
    <w:rsid w:val="00B807E2"/>
    <w:rsid w:val="00BD6430"/>
    <w:rsid w:val="00C0489A"/>
    <w:rsid w:val="00C37C04"/>
    <w:rsid w:val="00C47AC9"/>
    <w:rsid w:val="00C92452"/>
    <w:rsid w:val="00CC09FD"/>
    <w:rsid w:val="00CC1813"/>
    <w:rsid w:val="00CC5197"/>
    <w:rsid w:val="00CC605C"/>
    <w:rsid w:val="00CD034C"/>
    <w:rsid w:val="00CE4A76"/>
    <w:rsid w:val="00CF131C"/>
    <w:rsid w:val="00CF4F25"/>
    <w:rsid w:val="00CF6C06"/>
    <w:rsid w:val="00D17E86"/>
    <w:rsid w:val="00D32F62"/>
    <w:rsid w:val="00D33C5D"/>
    <w:rsid w:val="00D349F1"/>
    <w:rsid w:val="00D524F5"/>
    <w:rsid w:val="00D637C9"/>
    <w:rsid w:val="00D70904"/>
    <w:rsid w:val="00D72FEE"/>
    <w:rsid w:val="00D86150"/>
    <w:rsid w:val="00D9355E"/>
    <w:rsid w:val="00D954B4"/>
    <w:rsid w:val="00DB7A14"/>
    <w:rsid w:val="00DC2FA3"/>
    <w:rsid w:val="00DD3949"/>
    <w:rsid w:val="00E42FF3"/>
    <w:rsid w:val="00E62B9E"/>
    <w:rsid w:val="00E86FA0"/>
    <w:rsid w:val="00E94428"/>
    <w:rsid w:val="00EC2356"/>
    <w:rsid w:val="00EC6141"/>
    <w:rsid w:val="00EE4C36"/>
    <w:rsid w:val="00EE65EC"/>
    <w:rsid w:val="00EF10C6"/>
    <w:rsid w:val="00F00B40"/>
    <w:rsid w:val="00F03BF9"/>
    <w:rsid w:val="00F065F4"/>
    <w:rsid w:val="00F6320E"/>
    <w:rsid w:val="00F664E5"/>
    <w:rsid w:val="00F74527"/>
    <w:rsid w:val="00F802CE"/>
    <w:rsid w:val="00FA36FF"/>
    <w:rsid w:val="00FC4A03"/>
    <w:rsid w:val="00FE25E8"/>
    <w:rsid w:val="00FF61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paragraph" w:styleId="Rvision">
    <w:name w:val="Revision"/>
    <w:hidden/>
    <w:uiPriority w:val="99"/>
    <w:semiHidden/>
    <w:rsid w:val="004F5E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7026">
      <w:bodyDiv w:val="1"/>
      <w:marLeft w:val="0"/>
      <w:marRight w:val="0"/>
      <w:marTop w:val="0"/>
      <w:marBottom w:val="0"/>
      <w:divBdr>
        <w:top w:val="none" w:sz="0" w:space="0" w:color="auto"/>
        <w:left w:val="none" w:sz="0" w:space="0" w:color="auto"/>
        <w:bottom w:val="none" w:sz="0" w:space="0" w:color="auto"/>
        <w:right w:val="none" w:sz="0" w:space="0" w:color="auto"/>
      </w:divBdr>
    </w:div>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95EB5"/>
    <w:rsid w:val="00242E9F"/>
    <w:rsid w:val="003066AE"/>
    <w:rsid w:val="005A3E7F"/>
    <w:rsid w:val="00864732"/>
    <w:rsid w:val="009E2391"/>
    <w:rsid w:val="00AC31B5"/>
    <w:rsid w:val="00B14DD2"/>
    <w:rsid w:val="00B90D7C"/>
    <w:rsid w:val="00C60EC9"/>
    <w:rsid w:val="00CB08D0"/>
    <w:rsid w:val="00CF4F25"/>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7BD91-E71A-4402-8EAB-1F5E120E0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3340</Words>
  <Characters>18376</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3</cp:revision>
  <dcterms:created xsi:type="dcterms:W3CDTF">2025-10-24T15:22:00Z</dcterms:created>
  <dcterms:modified xsi:type="dcterms:W3CDTF">2025-10-29T16:05:00Z</dcterms:modified>
</cp:coreProperties>
</file>